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3F" w:rsidRDefault="00C42E3F">
      <w:pPr>
        <w:rPr>
          <w:lang w:val="et-EE"/>
        </w:rPr>
      </w:pPr>
      <w:r>
        <w:rPr>
          <w:lang w:val="et-EE"/>
        </w:rPr>
        <w:t>Hoone konstruktsioonide kirjeldus: Plaatvundament ja väikeplokk seinad, katus plekk ja fermidel. Ühekordne, suletud netopind ca 119 m2.</w:t>
      </w:r>
    </w:p>
    <w:p w:rsidR="005B2FBA" w:rsidRDefault="00C42E3F">
      <w:pPr>
        <w:rPr>
          <w:lang w:val="et-EE"/>
        </w:rPr>
      </w:pPr>
      <w:r>
        <w:rPr>
          <w:lang w:val="et-EE"/>
        </w:rPr>
        <w:t>Plaat vundament pinnasel vastavalt Bendersi tüüpsõlmedele betooniosas välisperimeetris ja 1x sisemises kandeseina osas.</w:t>
      </w:r>
    </w:p>
    <w:p w:rsidR="00C42E3F" w:rsidRDefault="00C42E3F">
      <w:pPr>
        <w:rPr>
          <w:lang w:val="et-EE"/>
        </w:rPr>
      </w:pPr>
      <w:r>
        <w:rPr>
          <w:noProof/>
          <w:lang w:eastAsia="en-GB"/>
        </w:rPr>
        <w:drawing>
          <wp:inline distT="0" distB="0" distL="0" distR="0" wp14:anchorId="1220ADB7" wp14:editId="5D1E50E6">
            <wp:extent cx="5705475" cy="3771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E3F" w:rsidRDefault="00C42E3F">
      <w:pPr>
        <w:rPr>
          <w:lang w:val="et-EE"/>
        </w:rPr>
      </w:pPr>
      <w:r>
        <w:rPr>
          <w:lang w:val="et-EE"/>
        </w:rPr>
        <w:t>Pakkumine teha eristatavalt</w:t>
      </w:r>
    </w:p>
    <w:p w:rsidR="00C42E3F" w:rsidRDefault="00C42E3F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Hoonealune süvend ja üleliigse pinnase äravedu</w:t>
      </w:r>
    </w:p>
    <w:p w:rsidR="00C42E3F" w:rsidRDefault="00C42E3F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Plaatvundament soojustus ja betooniosa</w:t>
      </w:r>
    </w:p>
    <w:p w:rsidR="00C42E3F" w:rsidRDefault="00C42E3F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Põrandaküttekontuuride paigaldus koos kollektoritega survestatud kujul.</w:t>
      </w:r>
    </w:p>
    <w:p w:rsidR="00C42E3F" w:rsidRDefault="00C42E3F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 xml:space="preserve">kanalisatsioonitorusik vundamendi all hoonevälise kaevuni  1m kaugusel hoonest </w:t>
      </w:r>
    </w:p>
    <w:p w:rsidR="00C42E3F" w:rsidRDefault="00C42E3F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Veetorustik sissetulek</w:t>
      </w:r>
      <w:r w:rsidR="00294DFC">
        <w:rPr>
          <w:lang w:val="et-EE"/>
        </w:rPr>
        <w:t xml:space="preserve"> tehnoruumi</w:t>
      </w:r>
      <w:r>
        <w:rPr>
          <w:lang w:val="et-EE"/>
        </w:rPr>
        <w:t>ja hargnemised san.seadmeteni vundamendi sees.</w:t>
      </w:r>
    </w:p>
    <w:p w:rsidR="00C42E3F" w:rsidRDefault="00C42E3F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Drenaasitorustik</w:t>
      </w:r>
      <w:r w:rsidR="00294DFC">
        <w:rPr>
          <w:lang w:val="et-EE"/>
        </w:rPr>
        <w:t xml:space="preserve"> ja sademvee ä</w:t>
      </w:r>
      <w:r w:rsidR="00C11412">
        <w:rPr>
          <w:lang w:val="et-EE"/>
        </w:rPr>
        <w:t>ravoolutorustik</w:t>
      </w:r>
      <w:r>
        <w:rPr>
          <w:lang w:val="et-EE"/>
        </w:rPr>
        <w:t xml:space="preserve"> kuni viimase kaevuni hoone ümber</w:t>
      </w:r>
    </w:p>
    <w:p w:rsidR="00C42E3F" w:rsidRDefault="00C42E3F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Tagasitäide perimeetri soojustusele</w:t>
      </w:r>
    </w:p>
    <w:p w:rsidR="00C11412" w:rsidRDefault="00C11412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Haljastus vundamendi ja maaala pinnakatete ümber</w:t>
      </w:r>
    </w:p>
    <w:p w:rsidR="00C11412" w:rsidRDefault="00C11412" w:rsidP="00C42E3F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 xml:space="preserve">Maa-ala pinnakatted. 100 m2 tänavakivide paigaldust, äärekivisid </w:t>
      </w:r>
      <w:r w:rsidR="00067072">
        <w:rPr>
          <w:lang w:val="et-EE"/>
        </w:rPr>
        <w:t>40</w:t>
      </w:r>
      <w:r>
        <w:rPr>
          <w:lang w:val="et-EE"/>
        </w:rPr>
        <w:t xml:space="preserve"> jm. Koos kruusa ja killustik alustega.</w:t>
      </w:r>
    </w:p>
    <w:p w:rsidR="00C11412" w:rsidRDefault="00C11412" w:rsidP="00C11412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 xml:space="preserve">Kruusast ligipääsu tee 3.5 m lai, pikkus </w:t>
      </w:r>
      <w:r w:rsidR="00294DFC">
        <w:rPr>
          <w:lang w:val="et-EE"/>
        </w:rPr>
        <w:t>2</w:t>
      </w:r>
      <w:r>
        <w:rPr>
          <w:lang w:val="et-EE"/>
        </w:rPr>
        <w:t>0 jm.</w:t>
      </w:r>
    </w:p>
    <w:p w:rsidR="00C11412" w:rsidRDefault="00C11412" w:rsidP="00C11412">
      <w:pPr>
        <w:ind w:left="360"/>
        <w:rPr>
          <w:lang w:val="et-EE"/>
        </w:rPr>
      </w:pPr>
      <w:r w:rsidRPr="00C11412">
        <w:rPr>
          <w:lang w:val="et-EE"/>
        </w:rPr>
        <w:t>Tehnovõrgud liigutmispunktidest</w:t>
      </w:r>
    </w:p>
    <w:p w:rsidR="00C11412" w:rsidRDefault="00C11412" w:rsidP="00C11412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Kanalisatsioonitorustik 20 jm. Kuni hoonevälise kaevuni koos tagasitäidete ja haljastuse ja üleliigse materjali äraveoga.</w:t>
      </w:r>
    </w:p>
    <w:p w:rsidR="00C11412" w:rsidRDefault="00C11412" w:rsidP="00C11412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t>Veetorustik 20 jm.</w:t>
      </w:r>
      <w:r w:rsidRPr="00C11412">
        <w:t xml:space="preserve"> </w:t>
      </w:r>
      <w:r w:rsidRPr="00C11412">
        <w:rPr>
          <w:lang w:val="et-EE"/>
        </w:rPr>
        <w:t>Kuni hoone</w:t>
      </w:r>
      <w:r>
        <w:rPr>
          <w:lang w:val="et-EE"/>
        </w:rPr>
        <w:t xml:space="preserve"> tehnoruumini </w:t>
      </w:r>
      <w:r w:rsidRPr="00C11412">
        <w:rPr>
          <w:lang w:val="et-EE"/>
        </w:rPr>
        <w:t>koos tagasitäidete ja haljastuse ja üleliigse materjali äraveoga.</w:t>
      </w:r>
    </w:p>
    <w:p w:rsidR="00C11412" w:rsidRPr="00C11412" w:rsidRDefault="00C11412" w:rsidP="00C11412">
      <w:pPr>
        <w:pStyle w:val="ListParagraph"/>
        <w:numPr>
          <w:ilvl w:val="0"/>
          <w:numId w:val="11"/>
        </w:numPr>
        <w:rPr>
          <w:lang w:val="et-EE"/>
        </w:rPr>
      </w:pPr>
      <w:r>
        <w:rPr>
          <w:lang w:val="et-EE"/>
        </w:rPr>
        <w:lastRenderedPageBreak/>
        <w:t xml:space="preserve">Maakaabelliin 20 jm. </w:t>
      </w:r>
      <w:r w:rsidRPr="00C11412">
        <w:rPr>
          <w:lang w:val="et-EE"/>
        </w:rPr>
        <w:t>Kuni hoone tehnoruumini koos tagasitäidete ja haljastuse ja üleliigse materjali äraveoga.</w:t>
      </w:r>
    </w:p>
    <w:p w:rsidR="00C11412" w:rsidRDefault="00C11412" w:rsidP="00C11412">
      <w:pPr>
        <w:rPr>
          <w:lang w:val="et-EE"/>
        </w:rPr>
      </w:pPr>
      <w:r>
        <w:rPr>
          <w:lang w:val="et-EE"/>
        </w:rPr>
        <w:t>Lõpptulemusena on valmis hoone vundament, vundamendi alused tehnovõrgud, ligipääsu teed kinnistul ja kogu kinnistu haljastus.</w:t>
      </w:r>
    </w:p>
    <w:p w:rsidR="005D188D" w:rsidRPr="00C11412" w:rsidRDefault="005D188D" w:rsidP="00C11412">
      <w:pPr>
        <w:rPr>
          <w:lang w:val="et-EE"/>
        </w:rPr>
      </w:pPr>
      <w:r>
        <w:rPr>
          <w:lang w:val="et-EE"/>
        </w:rPr>
        <w:t>Hinda palun pakkuda koos materjalidega</w:t>
      </w:r>
      <w:r w:rsidR="00581C5C">
        <w:rPr>
          <w:lang w:val="et-EE"/>
        </w:rPr>
        <w:t xml:space="preserve"> selliselt, et töö ja materjalide hind oleksid eelpool toodud ridade kaupa eraldatavad</w:t>
      </w:r>
      <w:bookmarkStart w:id="0" w:name="_GoBack"/>
      <w:bookmarkEnd w:id="0"/>
      <w:r>
        <w:rPr>
          <w:lang w:val="et-EE"/>
        </w:rPr>
        <w:t>.</w:t>
      </w:r>
    </w:p>
    <w:sectPr w:rsidR="005D188D" w:rsidRPr="00C11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97F172D"/>
    <w:multiLevelType w:val="hybridMultilevel"/>
    <w:tmpl w:val="CA965920"/>
    <w:lvl w:ilvl="0" w:tplc="448E7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CA"/>
    <w:rsid w:val="00067072"/>
    <w:rsid w:val="00214DE4"/>
    <w:rsid w:val="00294DFC"/>
    <w:rsid w:val="00581C5C"/>
    <w:rsid w:val="005D188D"/>
    <w:rsid w:val="007F73CA"/>
    <w:rsid w:val="00A92F2F"/>
    <w:rsid w:val="00C11412"/>
    <w:rsid w:val="00C42E3F"/>
    <w:rsid w:val="00DA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2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6</cp:revision>
  <dcterms:created xsi:type="dcterms:W3CDTF">2023-11-08T08:22:00Z</dcterms:created>
  <dcterms:modified xsi:type="dcterms:W3CDTF">2023-11-08T12:36:00Z</dcterms:modified>
</cp:coreProperties>
</file>