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Lisa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Saku Vallavalitsuse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korraldusele nr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PROJEKTEERIMISTINGIMUSED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  <w:t xml:space="preserve">AADRESS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Endine nimi: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  <w:t xml:space="preserve">Katastritunnus: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  <w:t xml:space="preserve">Registriosa: </w:t>
      </w:r>
      <w:r w:rsidDel="00000000" w:rsidR="00000000" w:rsidRPr="00000000">
        <w:rPr>
          <w:b w:val="1"/>
          <w:rtl w:val="0"/>
        </w:rPr>
        <w:t xml:space="preserve">XXX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Sihtotstarve: elamumaa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Pindala: 774 m²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Projekteerimistingimused antakse üksikelamu ehitusprojekti koostamiseks.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Üldist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1.1. Projekti koostamisel lähtuda kehtivatest normidest (EPN), standarditest (EVS) ja Eesti Vabariigi õigusaktidest.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1.2. Kinnistu asub endise aiandusühistu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territooriumil.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1.3. Ehitisregistri andmetel asub kinnistul aiamaja (ehitisregistri kood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1.4. Täiendavalt on kinnistu edelanurgas kuni 20 m² ehitis (~11 m² vundamendi osata) ja salvkaev. Nimetatud ehitise ümberehitamisel 20-60 m² ehitisena, abihoonena tuleb see ehitusprojekti raames seadustada ehitusteatisega.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1.5. Vastavalt aianduskooperatiivi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. aasta kruntide ja hoonete asendiplaanile asuvad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ja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põhihooned ning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abihoone ühises tuleohutsoonis.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1.6.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naaberkinnistu olemasolev hoonestus seab kinnistule ehitusliku piirangu tuleohutuskujaga (R 8 m) loode poolt.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1.7. Ehitusõigusi kinnistul ja </w:t>
      </w:r>
      <w:r w:rsidDel="00000000" w:rsidR="00000000" w:rsidRPr="00000000">
        <w:rPr>
          <w:b w:val="1"/>
          <w:rtl w:val="0"/>
        </w:rPr>
        <w:t xml:space="preserve">XXX</w:t>
      </w:r>
      <w:r w:rsidDel="00000000" w:rsidR="00000000" w:rsidRPr="00000000">
        <w:rPr>
          <w:rtl w:val="0"/>
        </w:rPr>
        <w:t xml:space="preserve"> naaberkinnistul piiravad ka kinnistutel asuvate kaevude, kui veevõtukohtade hooldusalad (R 10 m).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1.8. Ehitusprojektiga nähakse ette aiamaja lammutamine ja uue üksikelamu püstitamine ning muu kinnistuga seotud ehitustegevus.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2. Asendiplaanilised nõuded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2.1. Projekteeritavad hooned peavad jääma lisatud skeemil näidatud lubatavasse hoonestusalasse, paralleelselt või risti juurdepääsu tänavaga.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2.2. Kinnistul võib paikneda üks üksikelamu, üks abihoone, kasvuhoone ja kuni 20 m² ehitis.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2.3. Hoonete suurim lubatud ehitisealune pind kinnistul on 220 m².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2.4. Asendiplaanil esitada kavandatavate katendite, haljastuse ja vertikaalplaneeringuline lahendus.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2.5. Asendiplaanile kanda piirdeaia ja väravate asukoht. Piirdeaedade rajamise kaugus teekatte servast minimaalselt 2 m ja kraavi pervest minimaalselt 1 m.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2.6. Lahendada parkimine kinnistul.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 Arhitektuursed nõuded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3.1. Maksimaalne korruselisus üksikelamul kaks (üks maapealne korrus ja katusekorrus).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3.2. Lubatud kõrgus maapinnast üksikelamul kuni 8,5 m, abihoonel kuni 5 m.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3.3. Katuste kalded kahekordsetel hoonetel 25o - 45o, ühekordsetel hoonetel 0o - 45o.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3.4. Hoonete välisviimistluses kasutada soovitatavalt naturaalseid materjale: puit, kivi, krohv.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3.5. Uute piirdeaedade rajamisel, lubatud kõrgusega kuni 1,5 m, esitada projekti koosseisus piirdeaia ja väravate joonis.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3.6. Hoone minimaalne tulepüsivuse aste: TP3.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4. Tehnovarustuse ja keskkonnakaitselised nõuded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4.1. Asendiplaanil näidata kommunikatsioonide liitumispunktide asukohad ning vee-, kanalisatsiooni ja elektrivarustuse lahendus.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Tehnovõrkude valdajatelt taotleda vajadusel täiendavad tehnilised tingimused.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4.2. Veevarustus lahendada olemasoleva trassi baasil. Vältida potentsiaalseid reostusallikaid veevõtukohtade hooldusalades (R 10 m).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4.3. Reovee kanaliseerimine näha ette lekkekindlasse kogumismahutisse (ajutise lahendusena).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4.4. Üldvõrkude rajamise järgselt näha ette liitumine ühisvee- ja -kanalisatsioonivõrku.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4.5. Säilitada maksimaalselt olemasolev kõrghaljastus. Ehitusalasse jäävate puude (va viljapuud) raie kooskõlastada Saku Vallavalitsuse vallaaednikuga.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4.6. Situatsiooniskeemil näidata lähim tuletõrje veevõtukoht. Vajadusel lahendada tuletõrje veevarustus lokaalselt.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4.7. Asendiplaanil näidata jäätmemahuti asukoht.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 Projekti koosseis ja vormistamine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5.1. Ehitusprojekt koostada või kontrollida vastavat, kehtivat kutsepädevust omava juriidilise või füüsilise isiku poolt.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5.2. Ehitusprojekt peab vastama majandus- ja taristuministri 17.07.2015 määrusele nr 97 „Nõuded ehitusprojektile¹“.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5.3. Ehitusprojekti vormistamisel juhinduda standardist EVS 932:2017 Ehitusprojekt.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5.4. Hoonete likvideerimisel kajastada tegevused ehitusprojekti raames lammutusprojektina.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5.5. Asendiplaan vormistada aktuaalsel geodeetilisel alusplaanil mõõdus M 1:500, mis kajastab naaberkruntide ehitisi ja rajatisi vähemalt 15 m ulatuses väljaspool planeeritava krundi piire.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5.6. Ehitusprojekti kausta lisada situatsiooniskeem M 1:10000, projekteerimistingimused ja kooskõlastatud eskiislahendus.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5.7. Ehitusprojekti koosseisus esitada majandus- ja taristuministri 30.04.2015 määrusele nr 36 „Nõuded energiamärgise andmisele ja energiamärgisele¹“ vastav energiamärgis, mis on kantud ehitisregistrisse energiamärgise andja poolt.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6. Kooskõlastused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6.1. Arhitektuurne eskiislahendus kooskõlastada Saku Vallavalitsuse arhitektiga.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6.2. Ehitusprojekt kooskõlastada tehnilised tingimused väljastanud asutuste ja ettevõtetega.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6.3. Kooskõlastused ja seisukohad ehitusprojekti kohta esitada ehitusprojekti koosseisus.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6.4. Põhja päästekeskusega kooskõlastatakse ehitusprojekt pärast ehitusloa ja/või ehitusteatise menetluse alustamist.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7. Ehitusloa taotlemine ja ehitusteatise menetlemine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7.1. Ehitusloa saamiseks ja/või ehitusteatise menetlemiseks esitada ehitusprojekt ja dokumentatsioon komplekteeritult vastavalt ehitisregistri juhendile digitaalselt ehitisregistri kaudu Saku Vallavalitsusele läbivaatamiseks koos ehitusloa taotluse- ja/või ehitusteatisega.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7.2. Ehitusprojektile lisaks esitada digitaalne asendiplaan (cad-failina) elektronpostiga aadressil saku@sakuvald.ee.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Projekteerimistingimused ei anna õigust ehitamise alustamiseks.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Lisa: Skeem projekteerimistingimuste juurde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Projekteerimistingimused koostas Leho Vilu, arhitekt (tel 6712 420, leho.vilu@sakuvald.ee).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/allkirjastatud digitaalselt/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Siiri Raagmets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Vallasekretär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